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38" w:rsidRPr="001E686C" w:rsidRDefault="00107792" w:rsidP="00F73CF2">
      <w:pPr>
        <w:jc w:val="center"/>
        <w:rPr>
          <w:sz w:val="22"/>
          <w:szCs w:val="22"/>
        </w:rPr>
        <w:sectPr w:rsidR="00015B38" w:rsidRPr="001E686C" w:rsidSect="00D56EF6">
          <w:pgSz w:w="12240" w:h="15840"/>
          <w:pgMar w:top="504" w:right="706" w:bottom="432" w:left="706" w:header="720" w:footer="1080" w:gutter="0"/>
          <w:cols w:space="720"/>
          <w:docGrid w:linePitch="360"/>
        </w:sectPr>
      </w:pPr>
      <w:r>
        <w:rPr>
          <w:noProof/>
          <w:sz w:val="16"/>
          <w:szCs w:val="16"/>
        </w:rPr>
        <w:drawing>
          <wp:inline distT="0" distB="0" distL="0" distR="0">
            <wp:extent cx="1943100" cy="1238250"/>
            <wp:effectExtent l="19050" t="0" r="0" b="0"/>
            <wp:docPr id="1" name="Picture 1" descr="HHP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 Logo 2012"/>
                    <pic:cNvPicPr>
                      <a:picLocks noChangeAspect="1" noChangeArrowheads="1"/>
                    </pic:cNvPicPr>
                  </pic:nvPicPr>
                  <pic:blipFill>
                    <a:blip r:embed="rId7" cstate="print"/>
                    <a:srcRect t="4666" b="8667"/>
                    <a:stretch>
                      <a:fillRect/>
                    </a:stretch>
                  </pic:blipFill>
                  <pic:spPr bwMode="auto">
                    <a:xfrm>
                      <a:off x="0" y="0"/>
                      <a:ext cx="1943100" cy="1238250"/>
                    </a:xfrm>
                    <a:prstGeom prst="rect">
                      <a:avLst/>
                    </a:prstGeom>
                    <a:noFill/>
                    <a:ln w="9525">
                      <a:noFill/>
                      <a:miter lim="800000"/>
                      <a:headEnd/>
                      <a:tailEnd/>
                    </a:ln>
                  </pic:spPr>
                </pic:pic>
              </a:graphicData>
            </a:graphic>
          </wp:inline>
        </w:drawing>
      </w:r>
    </w:p>
    <w:p w:rsidR="00015B38" w:rsidRDefault="00015B38">
      <w:pPr>
        <w:rPr>
          <w:sz w:val="22"/>
          <w:szCs w:val="22"/>
        </w:rPr>
        <w:sectPr w:rsidR="00015B38" w:rsidSect="00D56EF6">
          <w:type w:val="continuous"/>
          <w:pgSz w:w="12240" w:h="15840"/>
          <w:pgMar w:top="432" w:right="720" w:bottom="432" w:left="720" w:header="720" w:footer="720" w:gutter="0"/>
          <w:cols w:space="720"/>
          <w:docGrid w:linePitch="360"/>
        </w:sectPr>
      </w:pPr>
    </w:p>
    <w:p w:rsidR="00015B38" w:rsidRDefault="00015B38" w:rsidP="00D56EF6">
      <w:pPr>
        <w:jc w:val="both"/>
        <w:rPr>
          <w:b/>
          <w:sz w:val="22"/>
          <w:szCs w:val="22"/>
        </w:rPr>
      </w:pPr>
      <w:r>
        <w:rPr>
          <w:b/>
          <w:sz w:val="22"/>
          <w:szCs w:val="22"/>
        </w:rPr>
        <w:lastRenderedPageBreak/>
        <w:t>SUMMARY</w:t>
      </w:r>
    </w:p>
    <w:p w:rsidR="00015B38" w:rsidRPr="00396C24" w:rsidRDefault="00015B38" w:rsidP="00D56EF6">
      <w:pPr>
        <w:jc w:val="both"/>
        <w:rPr>
          <w:b/>
          <w:sz w:val="22"/>
          <w:szCs w:val="22"/>
        </w:rPr>
      </w:pPr>
      <w:r>
        <w:rPr>
          <w:sz w:val="22"/>
          <w:szCs w:val="22"/>
        </w:rPr>
        <w:t>SB</w:t>
      </w:r>
      <w:r w:rsidR="00F37085">
        <w:rPr>
          <w:sz w:val="22"/>
          <w:szCs w:val="22"/>
        </w:rPr>
        <w:t xml:space="preserve"> 1326 (Roth) </w:t>
      </w:r>
      <w:r>
        <w:rPr>
          <w:sz w:val="22"/>
          <w:szCs w:val="22"/>
        </w:rPr>
        <w:t xml:space="preserve">would </w:t>
      </w:r>
      <w:r w:rsidR="00006993">
        <w:rPr>
          <w:sz w:val="22"/>
          <w:szCs w:val="22"/>
        </w:rPr>
        <w:t>provide clari</w:t>
      </w:r>
      <w:r w:rsidR="00E816B5">
        <w:rPr>
          <w:sz w:val="22"/>
          <w:szCs w:val="22"/>
        </w:rPr>
        <w:t xml:space="preserve">ty and specificity to the </w:t>
      </w:r>
      <w:r w:rsidR="00762877">
        <w:rPr>
          <w:sz w:val="22"/>
          <w:szCs w:val="22"/>
        </w:rPr>
        <w:t xml:space="preserve">existing </w:t>
      </w:r>
      <w:r w:rsidR="00006993">
        <w:rPr>
          <w:sz w:val="22"/>
          <w:szCs w:val="22"/>
        </w:rPr>
        <w:t>wa</w:t>
      </w:r>
      <w:r w:rsidR="00006993">
        <w:rPr>
          <w:sz w:val="22"/>
          <w:szCs w:val="22"/>
        </w:rPr>
        <w:t>r</w:t>
      </w:r>
      <w:r w:rsidR="00006993">
        <w:rPr>
          <w:sz w:val="22"/>
          <w:szCs w:val="22"/>
        </w:rPr>
        <w:t>ranty provisions for hearing aids.</w:t>
      </w:r>
      <w:r>
        <w:rPr>
          <w:sz w:val="22"/>
          <w:szCs w:val="22"/>
        </w:rPr>
        <w:t xml:space="preserve"> </w:t>
      </w:r>
      <w:r w:rsidR="00D82851">
        <w:rPr>
          <w:sz w:val="22"/>
          <w:szCs w:val="22"/>
        </w:rPr>
        <w:t>G</w:t>
      </w:r>
      <w:r w:rsidR="00B274DD">
        <w:rPr>
          <w:sz w:val="22"/>
          <w:szCs w:val="22"/>
        </w:rPr>
        <w:t xml:space="preserve">reater </w:t>
      </w:r>
      <w:r w:rsidR="00E137C7">
        <w:rPr>
          <w:sz w:val="22"/>
          <w:szCs w:val="22"/>
        </w:rPr>
        <w:t>statutory</w:t>
      </w:r>
      <w:r w:rsidR="00B274DD">
        <w:rPr>
          <w:sz w:val="22"/>
          <w:szCs w:val="22"/>
        </w:rPr>
        <w:t xml:space="preserve"> specificity will provide consistent </w:t>
      </w:r>
      <w:r w:rsidR="00FD2A34">
        <w:rPr>
          <w:sz w:val="22"/>
          <w:szCs w:val="22"/>
        </w:rPr>
        <w:t>enforcement</w:t>
      </w:r>
      <w:r w:rsidR="00B274DD">
        <w:rPr>
          <w:sz w:val="22"/>
          <w:szCs w:val="22"/>
        </w:rPr>
        <w:t xml:space="preserve"> of hearing aid dispensing </w:t>
      </w:r>
      <w:r w:rsidR="00FD2A34">
        <w:rPr>
          <w:sz w:val="22"/>
          <w:szCs w:val="22"/>
        </w:rPr>
        <w:t>complaints.</w:t>
      </w:r>
    </w:p>
    <w:p w:rsidR="00015B38" w:rsidRPr="00B86222" w:rsidRDefault="00015B38" w:rsidP="00D56EF6">
      <w:pPr>
        <w:jc w:val="both"/>
        <w:rPr>
          <w:sz w:val="22"/>
          <w:szCs w:val="22"/>
        </w:rPr>
      </w:pPr>
    </w:p>
    <w:p w:rsidR="00015B38" w:rsidRPr="00B86222" w:rsidRDefault="00015B38" w:rsidP="00D56EF6">
      <w:pPr>
        <w:jc w:val="both"/>
        <w:rPr>
          <w:b/>
          <w:sz w:val="22"/>
          <w:szCs w:val="22"/>
        </w:rPr>
      </w:pPr>
      <w:r>
        <w:rPr>
          <w:b/>
          <w:sz w:val="22"/>
          <w:szCs w:val="22"/>
        </w:rPr>
        <w:t>BACKGROUND</w:t>
      </w:r>
    </w:p>
    <w:p w:rsidR="00015B38" w:rsidRDefault="00015B38" w:rsidP="00D56EF6">
      <w:pPr>
        <w:jc w:val="both"/>
        <w:rPr>
          <w:sz w:val="22"/>
          <w:szCs w:val="22"/>
        </w:rPr>
      </w:pPr>
      <w:r>
        <w:rPr>
          <w:sz w:val="22"/>
          <w:szCs w:val="22"/>
        </w:rPr>
        <w:t>Existing law</w:t>
      </w:r>
      <w:r w:rsidR="00FB04F8">
        <w:rPr>
          <w:sz w:val="22"/>
          <w:szCs w:val="22"/>
        </w:rPr>
        <w:t>, the Song-Beverly Consumer Warra</w:t>
      </w:r>
      <w:r w:rsidR="00FB04F8">
        <w:rPr>
          <w:sz w:val="22"/>
          <w:szCs w:val="22"/>
        </w:rPr>
        <w:t>n</w:t>
      </w:r>
      <w:r w:rsidR="00FB04F8">
        <w:rPr>
          <w:sz w:val="22"/>
          <w:szCs w:val="22"/>
        </w:rPr>
        <w:t>ty Act, defines the obligations of retail sellers of assistive devices</w:t>
      </w:r>
      <w:r w:rsidR="00006993">
        <w:rPr>
          <w:sz w:val="22"/>
          <w:szCs w:val="22"/>
        </w:rPr>
        <w:t>, including hearing aids,</w:t>
      </w:r>
      <w:r w:rsidR="00FB04F8">
        <w:rPr>
          <w:sz w:val="22"/>
          <w:szCs w:val="22"/>
        </w:rPr>
        <w:t xml:space="preserve"> and pr</w:t>
      </w:r>
      <w:r w:rsidR="00FB04F8">
        <w:rPr>
          <w:sz w:val="22"/>
          <w:szCs w:val="22"/>
        </w:rPr>
        <w:t>o</w:t>
      </w:r>
      <w:r w:rsidR="00FB04F8">
        <w:rPr>
          <w:sz w:val="22"/>
          <w:szCs w:val="22"/>
        </w:rPr>
        <w:t xml:space="preserve">vides warranty and right of return provisions for consumers of </w:t>
      </w:r>
      <w:r w:rsidR="00006993">
        <w:rPr>
          <w:sz w:val="22"/>
          <w:szCs w:val="22"/>
        </w:rPr>
        <w:t xml:space="preserve">these </w:t>
      </w:r>
      <w:r w:rsidR="00FB04F8">
        <w:rPr>
          <w:sz w:val="22"/>
          <w:szCs w:val="22"/>
        </w:rPr>
        <w:t>assistive devices, including e</w:t>
      </w:r>
      <w:r w:rsidR="00FB04F8">
        <w:rPr>
          <w:sz w:val="22"/>
          <w:szCs w:val="22"/>
        </w:rPr>
        <w:t>x</w:t>
      </w:r>
      <w:r w:rsidR="00FB04F8">
        <w:rPr>
          <w:sz w:val="22"/>
          <w:szCs w:val="22"/>
        </w:rPr>
        <w:t>act language to be included in the notice to co</w:t>
      </w:r>
      <w:r w:rsidR="00FB04F8">
        <w:rPr>
          <w:sz w:val="22"/>
          <w:szCs w:val="22"/>
        </w:rPr>
        <w:t>n</w:t>
      </w:r>
      <w:r w:rsidR="00FB04F8">
        <w:rPr>
          <w:sz w:val="22"/>
          <w:szCs w:val="22"/>
        </w:rPr>
        <w:t>sumers</w:t>
      </w:r>
      <w:r w:rsidR="00EB5DB0">
        <w:rPr>
          <w:sz w:val="22"/>
          <w:szCs w:val="22"/>
        </w:rPr>
        <w:t>.</w:t>
      </w:r>
      <w:r w:rsidR="00D81103">
        <w:rPr>
          <w:rStyle w:val="FootnoteReference"/>
          <w:sz w:val="22"/>
          <w:szCs w:val="22"/>
        </w:rPr>
        <w:footnoteReference w:id="1"/>
      </w:r>
      <w:r w:rsidR="00006993">
        <w:rPr>
          <w:sz w:val="22"/>
          <w:szCs w:val="22"/>
        </w:rPr>
        <w:t xml:space="preserve">The Act </w:t>
      </w:r>
      <w:r w:rsidR="00E329BB">
        <w:rPr>
          <w:sz w:val="22"/>
          <w:szCs w:val="22"/>
        </w:rPr>
        <w:t>specifies that the hearing aid may be returned to at any time within 30 days of the date of the actual delivery or completion of fitting, whichever occurs later.  The hearing aid disp</w:t>
      </w:r>
      <w:r w:rsidR="00D81103">
        <w:rPr>
          <w:sz w:val="22"/>
          <w:szCs w:val="22"/>
        </w:rPr>
        <w:t>enser has the right to attempt to achieve a proper fitting by adjusting or replacing the device</w:t>
      </w:r>
      <w:r w:rsidR="00762877">
        <w:rPr>
          <w:sz w:val="22"/>
          <w:szCs w:val="22"/>
        </w:rPr>
        <w:t>.  If, after a</w:t>
      </w:r>
      <w:r w:rsidR="00762877">
        <w:rPr>
          <w:sz w:val="22"/>
          <w:szCs w:val="22"/>
        </w:rPr>
        <w:t>d</w:t>
      </w:r>
      <w:r w:rsidR="00762877">
        <w:rPr>
          <w:sz w:val="22"/>
          <w:szCs w:val="22"/>
        </w:rPr>
        <w:t>justment, the device is still not suited for the bu</w:t>
      </w:r>
      <w:r w:rsidR="00762877">
        <w:rPr>
          <w:sz w:val="22"/>
          <w:szCs w:val="22"/>
        </w:rPr>
        <w:t>y</w:t>
      </w:r>
      <w:r w:rsidR="00762877">
        <w:rPr>
          <w:sz w:val="22"/>
          <w:szCs w:val="22"/>
        </w:rPr>
        <w:t>er’s needs, the buyer may return the device for a full refund if that initial adjustment was made wit</w:t>
      </w:r>
      <w:r w:rsidR="00762877">
        <w:rPr>
          <w:sz w:val="22"/>
          <w:szCs w:val="22"/>
        </w:rPr>
        <w:t>h</w:t>
      </w:r>
      <w:r w:rsidR="00762877">
        <w:rPr>
          <w:sz w:val="22"/>
          <w:szCs w:val="22"/>
        </w:rPr>
        <w:t>in 30 days of the date of receipt by the buyer.</w:t>
      </w:r>
    </w:p>
    <w:p w:rsidR="00B274DD" w:rsidRDefault="00B274DD" w:rsidP="00D56EF6">
      <w:pPr>
        <w:jc w:val="both"/>
        <w:rPr>
          <w:sz w:val="22"/>
          <w:szCs w:val="22"/>
        </w:rPr>
      </w:pPr>
    </w:p>
    <w:p w:rsidR="00B274DD" w:rsidRDefault="00D56EF6" w:rsidP="00D56EF6">
      <w:pPr>
        <w:jc w:val="both"/>
        <w:rPr>
          <w:sz w:val="22"/>
          <w:szCs w:val="22"/>
        </w:rPr>
      </w:pPr>
      <w:r>
        <w:rPr>
          <w:sz w:val="22"/>
          <w:szCs w:val="22"/>
        </w:rPr>
        <w:t xml:space="preserve">The </w:t>
      </w:r>
      <w:r w:rsidR="003032AC">
        <w:rPr>
          <w:sz w:val="22"/>
          <w:szCs w:val="22"/>
        </w:rPr>
        <w:t xml:space="preserve">Speech-Language Pathology and Audiology and Hearing Aid Dispensers </w:t>
      </w:r>
      <w:r w:rsidR="00B274DD">
        <w:rPr>
          <w:sz w:val="22"/>
          <w:szCs w:val="22"/>
        </w:rPr>
        <w:t xml:space="preserve">Board </w:t>
      </w:r>
      <w:r w:rsidR="003032AC">
        <w:rPr>
          <w:sz w:val="22"/>
          <w:szCs w:val="22"/>
        </w:rPr>
        <w:t xml:space="preserve">(Board) </w:t>
      </w:r>
      <w:r w:rsidR="00B274DD">
        <w:rPr>
          <w:sz w:val="22"/>
          <w:szCs w:val="22"/>
        </w:rPr>
        <w:t>is the regulatory body tasked with enforcing the law and ensuring that the he</w:t>
      </w:r>
      <w:r w:rsidR="001E4CAE">
        <w:rPr>
          <w:sz w:val="22"/>
          <w:szCs w:val="22"/>
        </w:rPr>
        <w:t xml:space="preserve">alth, safety and welfare of </w:t>
      </w:r>
      <w:r w:rsidR="00B274DD">
        <w:rPr>
          <w:sz w:val="22"/>
          <w:szCs w:val="22"/>
        </w:rPr>
        <w:t>co</w:t>
      </w:r>
      <w:r w:rsidR="00B274DD">
        <w:rPr>
          <w:sz w:val="22"/>
          <w:szCs w:val="22"/>
        </w:rPr>
        <w:t>n</w:t>
      </w:r>
      <w:r w:rsidR="00B274DD">
        <w:rPr>
          <w:sz w:val="22"/>
          <w:szCs w:val="22"/>
        </w:rPr>
        <w:t>sumer</w:t>
      </w:r>
      <w:r w:rsidR="001E4CAE">
        <w:rPr>
          <w:sz w:val="22"/>
          <w:szCs w:val="22"/>
        </w:rPr>
        <w:t>s</w:t>
      </w:r>
      <w:r w:rsidR="00B274DD">
        <w:rPr>
          <w:sz w:val="22"/>
          <w:szCs w:val="22"/>
        </w:rPr>
        <w:t xml:space="preserve"> </w:t>
      </w:r>
      <w:r w:rsidR="001E4CAE">
        <w:rPr>
          <w:sz w:val="22"/>
          <w:szCs w:val="22"/>
        </w:rPr>
        <w:t>are</w:t>
      </w:r>
      <w:r w:rsidR="00B274DD">
        <w:rPr>
          <w:sz w:val="22"/>
          <w:szCs w:val="22"/>
        </w:rPr>
        <w:t xml:space="preserve"> protected.  Specifically, the Board is tasked with </w:t>
      </w:r>
      <w:r w:rsidR="001E4CAE">
        <w:rPr>
          <w:sz w:val="22"/>
          <w:szCs w:val="22"/>
        </w:rPr>
        <w:t xml:space="preserve">enforcing the </w:t>
      </w:r>
      <w:r>
        <w:rPr>
          <w:sz w:val="22"/>
          <w:szCs w:val="22"/>
        </w:rPr>
        <w:t>warranty provisions of the Song-</w:t>
      </w:r>
      <w:r w:rsidR="001E4CAE">
        <w:rPr>
          <w:sz w:val="22"/>
          <w:szCs w:val="22"/>
        </w:rPr>
        <w:t>Beverly Consumer Warranty Act related to hearing aids and handling consumer complaints related to these warranties.</w:t>
      </w:r>
    </w:p>
    <w:p w:rsidR="00015B38" w:rsidRDefault="00015B38" w:rsidP="00D56EF6">
      <w:pPr>
        <w:jc w:val="both"/>
        <w:rPr>
          <w:sz w:val="22"/>
          <w:szCs w:val="22"/>
        </w:rPr>
      </w:pPr>
    </w:p>
    <w:p w:rsidR="00015B38" w:rsidRPr="00B86222" w:rsidRDefault="00015B38" w:rsidP="00D56EF6">
      <w:pPr>
        <w:jc w:val="both"/>
        <w:rPr>
          <w:b/>
          <w:sz w:val="22"/>
          <w:szCs w:val="22"/>
        </w:rPr>
      </w:pPr>
      <w:r>
        <w:rPr>
          <w:b/>
          <w:sz w:val="22"/>
          <w:szCs w:val="22"/>
        </w:rPr>
        <w:t>PROBLEM</w:t>
      </w:r>
    </w:p>
    <w:p w:rsidR="00015B38" w:rsidRDefault="00E329BB" w:rsidP="00D56EF6">
      <w:pPr>
        <w:jc w:val="both"/>
        <w:rPr>
          <w:sz w:val="22"/>
          <w:szCs w:val="22"/>
        </w:rPr>
      </w:pPr>
      <w:r>
        <w:rPr>
          <w:sz w:val="22"/>
          <w:szCs w:val="22"/>
        </w:rPr>
        <w:t>While current law provides specific language that</w:t>
      </w:r>
      <w:r w:rsidR="001E4CAE">
        <w:rPr>
          <w:sz w:val="22"/>
          <w:szCs w:val="22"/>
        </w:rPr>
        <w:t xml:space="preserve"> there is a 30 day warranty for the assistive device, </w:t>
      </w:r>
      <w:r>
        <w:rPr>
          <w:sz w:val="22"/>
          <w:szCs w:val="22"/>
        </w:rPr>
        <w:t>the uniqueness of the fitting process has crea</w:t>
      </w:r>
      <w:r>
        <w:rPr>
          <w:sz w:val="22"/>
          <w:szCs w:val="22"/>
        </w:rPr>
        <w:t>t</w:t>
      </w:r>
      <w:r>
        <w:rPr>
          <w:sz w:val="22"/>
          <w:szCs w:val="22"/>
        </w:rPr>
        <w:t>ed ambiguity on when the 30 day period for wa</w:t>
      </w:r>
      <w:r>
        <w:rPr>
          <w:sz w:val="22"/>
          <w:szCs w:val="22"/>
        </w:rPr>
        <w:t>r</w:t>
      </w:r>
      <w:r>
        <w:rPr>
          <w:sz w:val="22"/>
          <w:szCs w:val="22"/>
        </w:rPr>
        <w:t>ranty be</w:t>
      </w:r>
      <w:r w:rsidR="00E24A17">
        <w:rPr>
          <w:sz w:val="22"/>
          <w:szCs w:val="22"/>
        </w:rPr>
        <w:t>gins</w:t>
      </w:r>
      <w:r>
        <w:rPr>
          <w:sz w:val="22"/>
          <w:szCs w:val="22"/>
        </w:rPr>
        <w:t xml:space="preserve">.  </w:t>
      </w:r>
      <w:r w:rsidR="00E24A17">
        <w:rPr>
          <w:sz w:val="22"/>
          <w:szCs w:val="22"/>
        </w:rPr>
        <w:t>Specifically, the warranty language states, “</w:t>
      </w:r>
      <w:r w:rsidR="00C67967">
        <w:rPr>
          <w:sz w:val="22"/>
          <w:szCs w:val="22"/>
        </w:rPr>
        <w:t>This assistive device is warranted to be specifica</w:t>
      </w:r>
      <w:r w:rsidR="00C67967">
        <w:rPr>
          <w:sz w:val="22"/>
          <w:szCs w:val="22"/>
        </w:rPr>
        <w:t>l</w:t>
      </w:r>
      <w:r w:rsidR="00C67967">
        <w:rPr>
          <w:sz w:val="22"/>
          <w:szCs w:val="22"/>
        </w:rPr>
        <w:t xml:space="preserve">ly fit for the particular needs of you the buyer.  If the device is not specifically fit for your particular needs, it may be returned to the seller within 30 days of the date of actual receipt by you or </w:t>
      </w:r>
      <w:r w:rsidR="00C67967">
        <w:rPr>
          <w:b/>
          <w:sz w:val="22"/>
          <w:szCs w:val="22"/>
        </w:rPr>
        <w:t>compl</w:t>
      </w:r>
      <w:r w:rsidR="00C67967">
        <w:rPr>
          <w:b/>
          <w:sz w:val="22"/>
          <w:szCs w:val="22"/>
        </w:rPr>
        <w:t>e</w:t>
      </w:r>
      <w:r w:rsidR="00C67967">
        <w:rPr>
          <w:b/>
          <w:sz w:val="22"/>
          <w:szCs w:val="22"/>
        </w:rPr>
        <w:t xml:space="preserve">tion of </w:t>
      </w:r>
      <w:r w:rsidR="00F725BF">
        <w:rPr>
          <w:b/>
          <w:sz w:val="22"/>
          <w:szCs w:val="22"/>
        </w:rPr>
        <w:t xml:space="preserve">fitting by the </w:t>
      </w:r>
      <w:r w:rsidR="00F725BF" w:rsidRPr="006A6A90">
        <w:rPr>
          <w:b/>
          <w:sz w:val="22"/>
          <w:szCs w:val="22"/>
        </w:rPr>
        <w:t>seller</w:t>
      </w:r>
      <w:r w:rsidR="008E0889">
        <w:rPr>
          <w:sz w:val="22"/>
          <w:szCs w:val="22"/>
        </w:rPr>
        <w:t xml:space="preserve">, whichever </w:t>
      </w:r>
      <w:r w:rsidR="008E0889">
        <w:rPr>
          <w:sz w:val="22"/>
          <w:szCs w:val="22"/>
        </w:rPr>
        <w:lastRenderedPageBreak/>
        <w:t>occurs later</w:t>
      </w:r>
      <w:r w:rsidR="00F725BF">
        <w:rPr>
          <w:sz w:val="22"/>
          <w:szCs w:val="22"/>
        </w:rPr>
        <w:t>.”</w:t>
      </w:r>
      <w:r w:rsidR="00F725BF">
        <w:rPr>
          <w:rStyle w:val="FootnoteReference"/>
          <w:sz w:val="22"/>
          <w:szCs w:val="22"/>
        </w:rPr>
        <w:footnoteReference w:id="2"/>
      </w:r>
      <w:r w:rsidR="00550FCE">
        <w:rPr>
          <w:sz w:val="22"/>
          <w:szCs w:val="22"/>
        </w:rPr>
        <w:t xml:space="preserve">  The completion of fitting </w:t>
      </w:r>
      <w:r w:rsidR="00D82851">
        <w:rPr>
          <w:sz w:val="22"/>
          <w:szCs w:val="22"/>
        </w:rPr>
        <w:t>language has led to confusion by both the seller and the purchaser on when the 30 day period begins.  The provisions do not clearly defi</w:t>
      </w:r>
      <w:r w:rsidR="003F4A14">
        <w:rPr>
          <w:sz w:val="22"/>
          <w:szCs w:val="22"/>
        </w:rPr>
        <w:t>ne the terms of the 30 day warranty</w:t>
      </w:r>
      <w:r w:rsidR="00D82851">
        <w:rPr>
          <w:sz w:val="22"/>
          <w:szCs w:val="22"/>
        </w:rPr>
        <w:t xml:space="preserve"> </w:t>
      </w:r>
      <w:r w:rsidR="00550FCE">
        <w:rPr>
          <w:sz w:val="22"/>
          <w:szCs w:val="22"/>
        </w:rPr>
        <w:t>per</w:t>
      </w:r>
      <w:r w:rsidR="00550FCE">
        <w:rPr>
          <w:sz w:val="22"/>
          <w:szCs w:val="22"/>
        </w:rPr>
        <w:t>i</w:t>
      </w:r>
      <w:r w:rsidR="00550FCE">
        <w:rPr>
          <w:sz w:val="22"/>
          <w:szCs w:val="22"/>
        </w:rPr>
        <w:t>od afforded to the consumer. Instead, the 30 day start date is left to interpretation by both the buyer and seller of the hearing aid. These subjective i</w:t>
      </w:r>
      <w:r w:rsidR="00550FCE">
        <w:rPr>
          <w:sz w:val="22"/>
          <w:szCs w:val="22"/>
        </w:rPr>
        <w:t>n</w:t>
      </w:r>
      <w:r w:rsidR="00550FCE">
        <w:rPr>
          <w:sz w:val="22"/>
          <w:szCs w:val="22"/>
        </w:rPr>
        <w:t>terpretations can lead to disagreements between the provider and the consumer and differing opinions on when the warranty is up. The vagueness of the language makes it very difficult for the Board to mediate such complaints when the parties involved have different interpretations of their rights and responsibilities under the warranty provisions.</w:t>
      </w:r>
    </w:p>
    <w:p w:rsidR="00E329BB" w:rsidRPr="00E329BB" w:rsidRDefault="00E329BB" w:rsidP="00D56EF6">
      <w:pPr>
        <w:jc w:val="both"/>
        <w:rPr>
          <w:sz w:val="22"/>
          <w:szCs w:val="22"/>
        </w:rPr>
      </w:pPr>
    </w:p>
    <w:p w:rsidR="00015B38" w:rsidRPr="00B86222" w:rsidRDefault="00015B38" w:rsidP="00D56EF6">
      <w:pPr>
        <w:jc w:val="both"/>
        <w:rPr>
          <w:b/>
          <w:sz w:val="22"/>
          <w:szCs w:val="22"/>
        </w:rPr>
      </w:pPr>
      <w:r>
        <w:rPr>
          <w:b/>
          <w:sz w:val="22"/>
          <w:szCs w:val="22"/>
        </w:rPr>
        <w:t>SOLUTION</w:t>
      </w:r>
    </w:p>
    <w:p w:rsidR="00015B38" w:rsidRDefault="00D56EF6" w:rsidP="00D56EF6">
      <w:pPr>
        <w:jc w:val="both"/>
        <w:rPr>
          <w:sz w:val="22"/>
          <w:szCs w:val="22"/>
        </w:rPr>
      </w:pPr>
      <w:r>
        <w:rPr>
          <w:sz w:val="22"/>
          <w:szCs w:val="22"/>
        </w:rPr>
        <w:t xml:space="preserve">The </w:t>
      </w:r>
      <w:r w:rsidR="00351688">
        <w:rPr>
          <w:sz w:val="22"/>
          <w:szCs w:val="22"/>
        </w:rPr>
        <w:t xml:space="preserve">Board’s mission is to </w:t>
      </w:r>
      <w:r>
        <w:rPr>
          <w:sz w:val="22"/>
          <w:szCs w:val="22"/>
        </w:rPr>
        <w:t>protect the public by licensing and regulating</w:t>
      </w:r>
      <w:r w:rsidR="00351688">
        <w:rPr>
          <w:sz w:val="22"/>
          <w:szCs w:val="22"/>
        </w:rPr>
        <w:t xml:space="preserve"> the practice of speech-language p</w:t>
      </w:r>
      <w:r w:rsidR="00351688">
        <w:rPr>
          <w:sz w:val="22"/>
          <w:szCs w:val="22"/>
        </w:rPr>
        <w:t>a</w:t>
      </w:r>
      <w:r w:rsidR="00351688">
        <w:rPr>
          <w:sz w:val="22"/>
          <w:szCs w:val="22"/>
        </w:rPr>
        <w:t>thology, audiology and the dispensing of hearing devices. Included in that mi</w:t>
      </w:r>
      <w:r>
        <w:rPr>
          <w:sz w:val="22"/>
          <w:szCs w:val="22"/>
        </w:rPr>
        <w:t>ssion is to ensure that consume</w:t>
      </w:r>
      <w:r w:rsidR="002F01DF">
        <w:rPr>
          <w:sz w:val="22"/>
          <w:szCs w:val="22"/>
        </w:rPr>
        <w:t>r</w:t>
      </w:r>
      <w:r>
        <w:rPr>
          <w:sz w:val="22"/>
          <w:szCs w:val="22"/>
        </w:rPr>
        <w:t xml:space="preserve"> rights </w:t>
      </w:r>
      <w:r w:rsidR="002D260E">
        <w:rPr>
          <w:sz w:val="22"/>
          <w:szCs w:val="22"/>
        </w:rPr>
        <w:t xml:space="preserve">are fully disclosed to them.  </w:t>
      </w:r>
      <w:r w:rsidR="003032AC">
        <w:rPr>
          <w:sz w:val="22"/>
          <w:szCs w:val="22"/>
        </w:rPr>
        <w:t>Providing</w:t>
      </w:r>
      <w:r w:rsidR="00351688">
        <w:rPr>
          <w:sz w:val="22"/>
          <w:szCs w:val="22"/>
        </w:rPr>
        <w:t xml:space="preserve"> the Board </w:t>
      </w:r>
      <w:r w:rsidR="003032AC">
        <w:rPr>
          <w:sz w:val="22"/>
          <w:szCs w:val="22"/>
        </w:rPr>
        <w:t>with clarifications to</w:t>
      </w:r>
      <w:r>
        <w:rPr>
          <w:sz w:val="22"/>
          <w:szCs w:val="22"/>
        </w:rPr>
        <w:t xml:space="preserve"> the provisions of the Song-</w:t>
      </w:r>
      <w:r w:rsidR="00351688">
        <w:rPr>
          <w:sz w:val="22"/>
          <w:szCs w:val="22"/>
        </w:rPr>
        <w:t>Beverly Warra</w:t>
      </w:r>
      <w:r w:rsidR="00351688">
        <w:rPr>
          <w:sz w:val="22"/>
          <w:szCs w:val="22"/>
        </w:rPr>
        <w:t>n</w:t>
      </w:r>
      <w:r w:rsidR="002D260E">
        <w:rPr>
          <w:sz w:val="22"/>
          <w:szCs w:val="22"/>
        </w:rPr>
        <w:t>ty Act</w:t>
      </w:r>
      <w:r w:rsidR="003032AC">
        <w:rPr>
          <w:sz w:val="22"/>
          <w:szCs w:val="22"/>
        </w:rPr>
        <w:t xml:space="preserve"> that </w:t>
      </w:r>
      <w:r w:rsidR="002D260E">
        <w:rPr>
          <w:sz w:val="22"/>
          <w:szCs w:val="22"/>
        </w:rPr>
        <w:t>relate to hearing aids</w:t>
      </w:r>
      <w:r w:rsidR="003032AC">
        <w:rPr>
          <w:sz w:val="22"/>
          <w:szCs w:val="22"/>
        </w:rPr>
        <w:t xml:space="preserve"> </w:t>
      </w:r>
      <w:r w:rsidR="002D260E">
        <w:rPr>
          <w:sz w:val="22"/>
          <w:szCs w:val="22"/>
        </w:rPr>
        <w:t>will provide the Board with clear enforcemen</w:t>
      </w:r>
      <w:r w:rsidR="003032AC">
        <w:rPr>
          <w:sz w:val="22"/>
          <w:szCs w:val="22"/>
        </w:rPr>
        <w:t xml:space="preserve">t direction and will result in </w:t>
      </w:r>
      <w:r w:rsidR="002D260E">
        <w:rPr>
          <w:sz w:val="22"/>
          <w:szCs w:val="22"/>
        </w:rPr>
        <w:t>enhanced consumer pr</w:t>
      </w:r>
      <w:r w:rsidR="002D260E">
        <w:rPr>
          <w:sz w:val="22"/>
          <w:szCs w:val="22"/>
        </w:rPr>
        <w:t>o</w:t>
      </w:r>
      <w:r w:rsidR="002D260E">
        <w:rPr>
          <w:sz w:val="22"/>
          <w:szCs w:val="22"/>
        </w:rPr>
        <w:t>tection.</w:t>
      </w:r>
      <w:r w:rsidR="003032AC">
        <w:rPr>
          <w:sz w:val="22"/>
          <w:szCs w:val="22"/>
        </w:rPr>
        <w:t xml:space="preserve"> </w:t>
      </w:r>
    </w:p>
    <w:p w:rsidR="00E329BB" w:rsidRPr="005B3AF9" w:rsidRDefault="00E329BB" w:rsidP="00D56EF6">
      <w:pPr>
        <w:jc w:val="both"/>
        <w:rPr>
          <w:sz w:val="22"/>
          <w:szCs w:val="22"/>
        </w:rPr>
      </w:pPr>
    </w:p>
    <w:p w:rsidR="00015B38" w:rsidRPr="00B86222" w:rsidRDefault="00015B38" w:rsidP="00D56EF6">
      <w:pPr>
        <w:jc w:val="both"/>
        <w:rPr>
          <w:b/>
          <w:sz w:val="22"/>
          <w:szCs w:val="22"/>
        </w:rPr>
      </w:pPr>
      <w:r>
        <w:rPr>
          <w:b/>
          <w:sz w:val="22"/>
          <w:szCs w:val="22"/>
        </w:rPr>
        <w:t>CONCLUSION</w:t>
      </w:r>
    </w:p>
    <w:p w:rsidR="00015B38" w:rsidRPr="00E329BB" w:rsidRDefault="00E24A17" w:rsidP="00D56EF6">
      <w:pPr>
        <w:jc w:val="both"/>
        <w:rPr>
          <w:sz w:val="22"/>
          <w:szCs w:val="22"/>
        </w:rPr>
      </w:pPr>
      <w:r>
        <w:rPr>
          <w:sz w:val="22"/>
          <w:szCs w:val="22"/>
        </w:rPr>
        <w:t>It</w:t>
      </w:r>
      <w:r w:rsidR="00C67967">
        <w:rPr>
          <w:sz w:val="22"/>
          <w:szCs w:val="22"/>
        </w:rPr>
        <w:t xml:space="preserve"> is important that purchasers of</w:t>
      </w:r>
      <w:r>
        <w:rPr>
          <w:sz w:val="22"/>
          <w:szCs w:val="22"/>
        </w:rPr>
        <w:t xml:space="preserve"> hearing aids fully understand their rights </w:t>
      </w:r>
      <w:r w:rsidR="00C67967">
        <w:rPr>
          <w:sz w:val="22"/>
          <w:szCs w:val="22"/>
        </w:rPr>
        <w:t>as they relate to the pu</w:t>
      </w:r>
      <w:r w:rsidR="00C67967">
        <w:rPr>
          <w:sz w:val="22"/>
          <w:szCs w:val="22"/>
        </w:rPr>
        <w:t>r</w:t>
      </w:r>
      <w:r w:rsidR="00C67967">
        <w:rPr>
          <w:sz w:val="22"/>
          <w:szCs w:val="22"/>
        </w:rPr>
        <w:t>chase, return</w:t>
      </w:r>
      <w:r w:rsidR="003032AC">
        <w:rPr>
          <w:sz w:val="22"/>
          <w:szCs w:val="22"/>
        </w:rPr>
        <w:t>,</w:t>
      </w:r>
      <w:r w:rsidR="00C67967">
        <w:rPr>
          <w:sz w:val="22"/>
          <w:szCs w:val="22"/>
        </w:rPr>
        <w:t xml:space="preserve"> and warranty on their assistive device.  As many of these consumers are elderly and wit</w:t>
      </w:r>
      <w:r w:rsidR="00C67967">
        <w:rPr>
          <w:sz w:val="22"/>
          <w:szCs w:val="22"/>
        </w:rPr>
        <w:t>h</w:t>
      </w:r>
      <w:r w:rsidR="00C67967">
        <w:rPr>
          <w:sz w:val="22"/>
          <w:szCs w:val="22"/>
        </w:rPr>
        <w:t>out the financial ability to incur the large costs a</w:t>
      </w:r>
      <w:r w:rsidR="00C67967">
        <w:rPr>
          <w:sz w:val="22"/>
          <w:szCs w:val="22"/>
        </w:rPr>
        <w:t>s</w:t>
      </w:r>
      <w:r w:rsidR="00C67967">
        <w:rPr>
          <w:sz w:val="22"/>
          <w:szCs w:val="22"/>
        </w:rPr>
        <w:t xml:space="preserve">sociated with these devices, it is critical that the enforcement of the law is clear so that the rights of these consumers can be protected.  </w:t>
      </w:r>
      <w:r w:rsidR="003032AC">
        <w:rPr>
          <w:sz w:val="22"/>
          <w:szCs w:val="22"/>
        </w:rPr>
        <w:t>Clarifying current statute will allow</w:t>
      </w:r>
      <w:r w:rsidR="00C67967">
        <w:rPr>
          <w:sz w:val="22"/>
          <w:szCs w:val="22"/>
        </w:rPr>
        <w:t xml:space="preserve"> the Board </w:t>
      </w:r>
      <w:r w:rsidR="003032AC">
        <w:rPr>
          <w:sz w:val="22"/>
          <w:szCs w:val="22"/>
        </w:rPr>
        <w:t xml:space="preserve">to properly and expeditiously enforce the law </w:t>
      </w:r>
      <w:r w:rsidR="00851261">
        <w:rPr>
          <w:sz w:val="22"/>
          <w:szCs w:val="22"/>
        </w:rPr>
        <w:t>and will give consumers ad</w:t>
      </w:r>
      <w:r w:rsidR="00851261">
        <w:rPr>
          <w:sz w:val="22"/>
          <w:szCs w:val="22"/>
        </w:rPr>
        <w:t>d</w:t>
      </w:r>
      <w:r w:rsidR="00851261">
        <w:rPr>
          <w:sz w:val="22"/>
          <w:szCs w:val="22"/>
        </w:rPr>
        <w:t>e</w:t>
      </w:r>
      <w:r w:rsidR="00D56EF6">
        <w:rPr>
          <w:sz w:val="22"/>
          <w:szCs w:val="22"/>
        </w:rPr>
        <w:t>d comfort on understanding their rights</w:t>
      </w:r>
      <w:r w:rsidR="00851261">
        <w:rPr>
          <w:sz w:val="22"/>
          <w:szCs w:val="22"/>
        </w:rPr>
        <w:t>.</w:t>
      </w:r>
    </w:p>
    <w:p w:rsidR="00E329BB" w:rsidRDefault="00E329BB" w:rsidP="00D56EF6">
      <w:pPr>
        <w:jc w:val="both"/>
        <w:rPr>
          <w:i/>
          <w:sz w:val="22"/>
          <w:szCs w:val="22"/>
        </w:rPr>
      </w:pPr>
    </w:p>
    <w:p w:rsidR="00015B38" w:rsidRPr="00B86222" w:rsidRDefault="00015B38" w:rsidP="00015B38">
      <w:pPr>
        <w:jc w:val="both"/>
        <w:rPr>
          <w:i/>
          <w:sz w:val="22"/>
          <w:szCs w:val="22"/>
        </w:rPr>
      </w:pPr>
      <w:r w:rsidRPr="00973C68">
        <w:rPr>
          <w:i/>
          <w:sz w:val="22"/>
          <w:szCs w:val="22"/>
        </w:rPr>
        <w:t>For further inform</w:t>
      </w:r>
      <w:r>
        <w:rPr>
          <w:i/>
          <w:sz w:val="22"/>
          <w:szCs w:val="22"/>
        </w:rPr>
        <w:t xml:space="preserve">ation, please contact </w:t>
      </w:r>
      <w:r w:rsidR="00383D19">
        <w:rPr>
          <w:i/>
          <w:sz w:val="22"/>
          <w:szCs w:val="22"/>
        </w:rPr>
        <w:t>HHP</w:t>
      </w:r>
      <w:r w:rsidR="00351688">
        <w:rPr>
          <w:i/>
          <w:sz w:val="22"/>
          <w:szCs w:val="22"/>
        </w:rPr>
        <w:t>CA</w:t>
      </w:r>
      <w:r>
        <w:rPr>
          <w:i/>
          <w:sz w:val="22"/>
          <w:szCs w:val="22"/>
        </w:rPr>
        <w:t xml:space="preserve"> Legislative Advocate</w:t>
      </w:r>
      <w:r w:rsidR="00017319">
        <w:rPr>
          <w:i/>
          <w:sz w:val="22"/>
          <w:szCs w:val="22"/>
        </w:rPr>
        <w:t>s</w:t>
      </w:r>
      <w:r w:rsidR="00470DBA">
        <w:rPr>
          <w:i/>
          <w:sz w:val="22"/>
          <w:szCs w:val="22"/>
        </w:rPr>
        <w:t xml:space="preserve"> Bryce W.A. Docherty </w:t>
      </w:r>
      <w:r w:rsidR="00017319">
        <w:rPr>
          <w:i/>
          <w:sz w:val="22"/>
          <w:szCs w:val="22"/>
        </w:rPr>
        <w:t xml:space="preserve">or Vanessa Cajina at KP Public Affairs </w:t>
      </w:r>
      <w:r>
        <w:rPr>
          <w:i/>
          <w:sz w:val="22"/>
          <w:szCs w:val="22"/>
        </w:rPr>
        <w:t xml:space="preserve">at (916) </w:t>
      </w:r>
      <w:r w:rsidR="00470DBA">
        <w:rPr>
          <w:i/>
          <w:sz w:val="22"/>
          <w:szCs w:val="22"/>
        </w:rPr>
        <w:t xml:space="preserve">448-2162 </w:t>
      </w:r>
      <w:r w:rsidRPr="00973C68">
        <w:rPr>
          <w:i/>
          <w:sz w:val="22"/>
          <w:szCs w:val="22"/>
        </w:rPr>
        <w:t xml:space="preserve">or </w:t>
      </w:r>
      <w:hyperlink r:id="rId8" w:history="1">
        <w:r w:rsidR="00E816B5" w:rsidRPr="00A46A42">
          <w:rPr>
            <w:rStyle w:val="Hyperlink"/>
            <w:i/>
            <w:sz w:val="22"/>
            <w:szCs w:val="22"/>
          </w:rPr>
          <w:t>bdocherty@ka-pow.com</w:t>
        </w:r>
      </w:hyperlink>
      <w:r w:rsidR="00017319">
        <w:rPr>
          <w:i/>
          <w:sz w:val="22"/>
          <w:szCs w:val="22"/>
        </w:rPr>
        <w:t xml:space="preserve"> or </w:t>
      </w:r>
      <w:hyperlink r:id="rId9" w:history="1">
        <w:r w:rsidR="00017319" w:rsidRPr="00D257B9">
          <w:rPr>
            <w:rStyle w:val="Hyperlink"/>
            <w:i/>
            <w:sz w:val="22"/>
            <w:szCs w:val="22"/>
          </w:rPr>
          <w:t>vcajina@ka-pow.com</w:t>
        </w:r>
      </w:hyperlink>
      <w:r w:rsidR="00017319">
        <w:rPr>
          <w:i/>
          <w:sz w:val="22"/>
          <w:szCs w:val="22"/>
        </w:rPr>
        <w:t>.</w:t>
      </w:r>
      <w:r w:rsidR="00D56EF6">
        <w:rPr>
          <w:i/>
          <w:sz w:val="22"/>
          <w:szCs w:val="22"/>
        </w:rPr>
        <w:t xml:space="preserve"> </w:t>
      </w:r>
    </w:p>
    <w:sectPr w:rsidR="00015B38" w:rsidRPr="00B86222" w:rsidSect="00015B38">
      <w:type w:val="continuous"/>
      <w:pgSz w:w="12240" w:h="15840"/>
      <w:pgMar w:top="1800" w:right="1200" w:bottom="1800" w:left="12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21" w:rsidRDefault="00596F21">
      <w:r>
        <w:separator/>
      </w:r>
    </w:p>
  </w:endnote>
  <w:endnote w:type="continuationSeparator" w:id="0">
    <w:p w:rsidR="00596F21" w:rsidRDefault="0059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21" w:rsidRDefault="00596F21">
      <w:r>
        <w:separator/>
      </w:r>
    </w:p>
  </w:footnote>
  <w:footnote w:type="continuationSeparator" w:id="0">
    <w:p w:rsidR="00596F21" w:rsidRDefault="00596F21">
      <w:r>
        <w:continuationSeparator/>
      </w:r>
    </w:p>
  </w:footnote>
  <w:footnote w:id="1">
    <w:p w:rsidR="00D81103" w:rsidRDefault="00D81103">
      <w:pPr>
        <w:pStyle w:val="FootnoteText"/>
      </w:pPr>
      <w:r>
        <w:rPr>
          <w:rStyle w:val="FootnoteReference"/>
        </w:rPr>
        <w:footnoteRef/>
      </w:r>
      <w:r>
        <w:t xml:space="preserve"> Civil Code §</w:t>
      </w:r>
      <w:r w:rsidR="00CF045D">
        <w:t xml:space="preserve"> 1793.</w:t>
      </w:r>
      <w:r w:rsidR="00F725BF">
        <w:t>0</w:t>
      </w:r>
      <w:r w:rsidR="00CF045D">
        <w:t>2</w:t>
      </w:r>
    </w:p>
  </w:footnote>
  <w:footnote w:id="2">
    <w:p w:rsidR="00F725BF" w:rsidRDefault="00F725BF">
      <w:pPr>
        <w:pStyle w:val="FootnoteText"/>
      </w:pPr>
      <w:r>
        <w:rPr>
          <w:rStyle w:val="FootnoteReference"/>
        </w:rPr>
        <w:footnoteRef/>
      </w:r>
      <w:r>
        <w:t xml:space="preserve"> Civil Code § 1793.0</w:t>
      </w:r>
      <w:r w:rsidR="00D82851">
        <w:t>2 (a)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footnotePr>
    <w:footnote w:id="-1"/>
    <w:footnote w:id="0"/>
  </w:footnotePr>
  <w:endnotePr>
    <w:endnote w:id="-1"/>
    <w:endnote w:id="0"/>
  </w:endnotePr>
  <w:compat/>
  <w:rsids>
    <w:rsidRoot w:val="007D7623"/>
    <w:rsid w:val="00006993"/>
    <w:rsid w:val="00015B38"/>
    <w:rsid w:val="00017319"/>
    <w:rsid w:val="00107792"/>
    <w:rsid w:val="00157C02"/>
    <w:rsid w:val="001E4CAE"/>
    <w:rsid w:val="0024774B"/>
    <w:rsid w:val="002732B8"/>
    <w:rsid w:val="002D260E"/>
    <w:rsid w:val="002F01DF"/>
    <w:rsid w:val="003032AC"/>
    <w:rsid w:val="00336E25"/>
    <w:rsid w:val="00351688"/>
    <w:rsid w:val="00365E60"/>
    <w:rsid w:val="00383D19"/>
    <w:rsid w:val="003F4A14"/>
    <w:rsid w:val="00423490"/>
    <w:rsid w:val="00436065"/>
    <w:rsid w:val="00470DBA"/>
    <w:rsid w:val="00495282"/>
    <w:rsid w:val="00543AE7"/>
    <w:rsid w:val="00550FCE"/>
    <w:rsid w:val="00596F21"/>
    <w:rsid w:val="005A6AC0"/>
    <w:rsid w:val="005C49EE"/>
    <w:rsid w:val="006A6A90"/>
    <w:rsid w:val="00762877"/>
    <w:rsid w:val="00851261"/>
    <w:rsid w:val="008E0889"/>
    <w:rsid w:val="009B7F10"/>
    <w:rsid w:val="00A21A3F"/>
    <w:rsid w:val="00B274DD"/>
    <w:rsid w:val="00BD36EA"/>
    <w:rsid w:val="00C6073D"/>
    <w:rsid w:val="00C67967"/>
    <w:rsid w:val="00CF045D"/>
    <w:rsid w:val="00D13627"/>
    <w:rsid w:val="00D56EF6"/>
    <w:rsid w:val="00D77F34"/>
    <w:rsid w:val="00D81103"/>
    <w:rsid w:val="00D82851"/>
    <w:rsid w:val="00E137C7"/>
    <w:rsid w:val="00E24A17"/>
    <w:rsid w:val="00E329BB"/>
    <w:rsid w:val="00E73206"/>
    <w:rsid w:val="00E816B5"/>
    <w:rsid w:val="00EA64EE"/>
    <w:rsid w:val="00EB5DB0"/>
    <w:rsid w:val="00ED6770"/>
    <w:rsid w:val="00F0517C"/>
    <w:rsid w:val="00F37085"/>
    <w:rsid w:val="00F6527B"/>
    <w:rsid w:val="00F725BF"/>
    <w:rsid w:val="00F73CF2"/>
    <w:rsid w:val="00FB04F8"/>
    <w:rsid w:val="00FD2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5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86222"/>
    <w:rPr>
      <w:szCs w:val="20"/>
    </w:rPr>
  </w:style>
  <w:style w:type="paragraph" w:styleId="BalloonText">
    <w:name w:val="Balloon Text"/>
    <w:basedOn w:val="Normal"/>
    <w:semiHidden/>
    <w:rsid w:val="006F083C"/>
    <w:rPr>
      <w:rFonts w:ascii="Tahoma" w:hAnsi="Tahoma" w:cs="Tahoma"/>
      <w:sz w:val="16"/>
      <w:szCs w:val="16"/>
    </w:rPr>
  </w:style>
  <w:style w:type="character" w:styleId="Hyperlink">
    <w:name w:val="Hyperlink"/>
    <w:rsid w:val="00824079"/>
    <w:rPr>
      <w:color w:val="0000FF"/>
      <w:u w:val="single"/>
    </w:rPr>
  </w:style>
  <w:style w:type="character" w:styleId="FollowedHyperlink">
    <w:name w:val="FollowedHyperlink"/>
    <w:rsid w:val="00824079"/>
    <w:rPr>
      <w:color w:val="800080"/>
      <w:u w:val="single"/>
    </w:rPr>
  </w:style>
  <w:style w:type="paragraph" w:styleId="FootnoteText">
    <w:name w:val="footnote text"/>
    <w:basedOn w:val="Normal"/>
    <w:semiHidden/>
    <w:rsid w:val="002C3653"/>
    <w:rPr>
      <w:sz w:val="20"/>
      <w:szCs w:val="20"/>
    </w:rPr>
  </w:style>
  <w:style w:type="character" w:styleId="FootnoteReference">
    <w:name w:val="footnote reference"/>
    <w:semiHidden/>
    <w:rsid w:val="002C3653"/>
    <w:rPr>
      <w:vertAlign w:val="superscript"/>
    </w:rPr>
  </w:style>
  <w:style w:type="paragraph" w:styleId="EndnoteText">
    <w:name w:val="endnote text"/>
    <w:basedOn w:val="Normal"/>
    <w:link w:val="EndnoteTextChar"/>
    <w:rsid w:val="00E329BB"/>
    <w:rPr>
      <w:sz w:val="20"/>
      <w:szCs w:val="20"/>
    </w:rPr>
  </w:style>
  <w:style w:type="character" w:customStyle="1" w:styleId="EndnoteTextChar">
    <w:name w:val="Endnote Text Char"/>
    <w:basedOn w:val="DefaultParagraphFont"/>
    <w:link w:val="EndnoteText"/>
    <w:rsid w:val="00E329BB"/>
  </w:style>
  <w:style w:type="character" w:styleId="EndnoteReference">
    <w:name w:val="endnote reference"/>
    <w:rsid w:val="00E329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ocherty@ka-pow.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cajina@ka-p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8A3C-C581-4DD8-9548-29A78F83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 Paper</vt:lpstr>
    </vt:vector>
  </TitlesOfParts>
  <Company>Microsoft</Company>
  <LinksUpToDate>false</LinksUpToDate>
  <CharactersWithSpaces>4086</CharactersWithSpaces>
  <SharedDoc>false</SharedDoc>
  <HLinks>
    <vt:vector size="12" baseType="variant">
      <vt:variant>
        <vt:i4>1376360</vt:i4>
      </vt:variant>
      <vt:variant>
        <vt:i4>3</vt:i4>
      </vt:variant>
      <vt:variant>
        <vt:i4>0</vt:i4>
      </vt:variant>
      <vt:variant>
        <vt:i4>5</vt:i4>
      </vt:variant>
      <vt:variant>
        <vt:lpwstr>mailto:vcajina@ka-pow.com</vt:lpwstr>
      </vt:variant>
      <vt:variant>
        <vt:lpwstr/>
      </vt:variant>
      <vt:variant>
        <vt:i4>6553625</vt:i4>
      </vt:variant>
      <vt:variant>
        <vt:i4>0</vt:i4>
      </vt:variant>
      <vt:variant>
        <vt:i4>0</vt:i4>
      </vt:variant>
      <vt:variant>
        <vt:i4>5</vt:i4>
      </vt:variant>
      <vt:variant>
        <vt:lpwstr>mailto:bdocherty@ka-pow.com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dc:title>
  <dc:creator>dharms</dc:creator>
  <cp:lastModifiedBy>Sarah</cp:lastModifiedBy>
  <cp:revision>2</cp:revision>
  <cp:lastPrinted>2013-12-12T16:38:00Z</cp:lastPrinted>
  <dcterms:created xsi:type="dcterms:W3CDTF">2014-04-21T20:25:00Z</dcterms:created>
  <dcterms:modified xsi:type="dcterms:W3CDTF">2014-04-21T20:25:00Z</dcterms:modified>
</cp:coreProperties>
</file>